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2"/>
    <w:p>
      <w:pPr>
        <w:pStyle w:val="Heading1"/>
      </w:pPr>
      <w:r>
        <w:t xml:space="preserve">Homiletics Analysis: 1 Samuel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12 records Samuel’s farewell address to Israel at Gilgal, delivered at the inauguration of Saul’s kingship. The chapter opens with Samuel calling the nation to testify against him if he has ever wronged them — a judicial self-vindication establishing his credibility as covenant mediator (vv. 1–5). The people affirm his integrity. Samuel then pivots from his own record to Israel’s record: a rehearsal of the LORD’s saving acts from the Exodus through the period of the judges, punctuated by Israel’s repeated pattern of forgetting, oppressing, crying out, and being delivered (vv. 6–11). The theological charge is explicit: Israel’s demand for a king was not merely a political preference but a rejection of the LORD as king, committed in the very moment when Nahash the Ammonite threatened them — when they should have cried to God, they cried for a king (v. 12). Samuel does not revoke the kingship, but he reframes it under covenant terms: obedience will bring blessing; rebellion will bring the same judgment that has always followed covenant unfaithfulness (vv. 13–15). To ratify the gravity of this moment, Samuel calls down thunder and rain during the wheat harvest — a seasonal impossibility that functions as a covenant sign, reducing the people to fear and confession (vv. 16–19). Samuel’s closing exhortation does not catastrophize: he does not say the monarchy is doomed. He calls them — and their king — to fear the LORD, serve Him with their whole heart, remember His great things, and never turn to idols. Samuel himself commits to intercede for them and teach them the good and right way. The chapter ends with the covenant terms plainly stated: continued sin by them or their king will sweep them both away (vv. 20–25).</w:t>
      </w:r>
    </w:p>
    <w:p>
      <w:pPr>
        <w:pStyle w:val="BodyText"/>
      </w:pPr>
      <w:r>
        <w:rPr>
          <w:b/>
          <w:bCs/>
        </w:rPr>
        <w:t xml:space="preserve">This Text — Intent:</w:t>
      </w:r>
    </w:p>
    <w:p>
      <w:pPr>
        <w:pStyle w:val="BodyText"/>
      </w:pPr>
      <w:r>
        <w:t xml:space="preserve">God’s intent through this passage is to confront Israel — and every reader — with the seriousness of covenant unfaithfulness while simultaneously refusing to abandon the faithless. The LORD uses Samuel’s integrity as a foil for Israel’s faithlessness, and Samuel’s farewell as a last covenant appeal. The intent is not primarily judicial condemnation but renewed covenant summons:</w:t>
      </w:r>
      <w:r>
        <w:t xml:space="preserve"> </w:t>
      </w:r>
      <w:r>
        <w:rPr>
          <w:i/>
          <w:iCs/>
        </w:rPr>
        <w:t xml:space="preserve">will you now, having received what you wrongly demanded, choose to fear the LORD and serve Him with your whole heart?</w:t>
      </w:r>
      <w:r>
        <w:t xml:space="preserve"> </w:t>
      </w:r>
      <w:r>
        <w:t xml:space="preserve">The passage places the reader at a decision point. It also models what faithful covenant ministry looks like under conditions of grief, disappointment, and the apparent defeat of one’s life work — Samuel continues to pray for and teach people who have rejected his counsel. The twin poles of the chapter’s intent are</w:t>
      </w:r>
      <w:r>
        <w:t xml:space="preserve"> </w:t>
      </w:r>
      <w:r>
        <w:rPr>
          <w:i/>
          <w:iCs/>
        </w:rPr>
        <w:t xml:space="preserve">sober accountability</w:t>
      </w:r>
      <w:r>
        <w:t xml:space="preserve"> </w:t>
      </w:r>
      <w:r>
        <w:t xml:space="preserve">(your sin was great) and</w:t>
      </w:r>
      <w:r>
        <w:t xml:space="preserve"> </w:t>
      </w:r>
      <w:r>
        <w:rPr>
          <w:i/>
          <w:iCs/>
        </w:rPr>
        <w:t xml:space="preserve">renewed summons</w:t>
      </w:r>
      <w:r>
        <w:t xml:space="preserve"> </w:t>
      </w:r>
      <w:r>
        <w:t xml:space="preserve">(but do not be afraid — do not turn to idols — serve the LORD with your whole heart).</w:t>
      </w:r>
    </w:p>
    <w:p>
      <w:r>
        <w:pict>
          <v:rect style="width:0;height:1.5pt" o:hralign="center" o:hrstd="t" o:hr="t"/>
        </w:pict>
      </w:r>
    </w:p>
    <w:p>
      <w:pPr>
        <w:pStyle w:val="FirstParagraph"/>
      </w:pPr>
      <w:r>
        <w:rPr>
          <w:b/>
          <w:bCs/>
        </w:rPr>
        <w:t xml:space="preserve">Subject Sentence:</w:t>
      </w:r>
      <w:r>
        <w:t xml:space="preserve"> </w:t>
      </w:r>
      <w:r>
        <w:t xml:space="preserve">Samuel’s farewell confronts Israel’s covenant failure and calls them to wholehearted obedience under the grace that still remains.</w:t>
      </w:r>
    </w:p>
    <w:p>
      <w:r>
        <w:pict>
          <v:rect style="width:0;height:1.5pt" o:hralign="center" o:hrstd="t" o:hr="t"/>
        </w:pict>
      </w:r>
    </w:p>
    <w:p>
      <w:pPr>
        <w:pStyle w:val="FirstParagraph"/>
      </w:pPr>
      <w:r>
        <w:rPr>
          <w:b/>
          <w:bCs/>
        </w:rPr>
        <w:t xml:space="preserve">Primary Claim:</w:t>
      </w:r>
      <w:r>
        <w:t xml:space="preserve"> </w:t>
      </w:r>
      <w:r>
        <w:t xml:space="preserve">God summons His people — even after they have sinned against His kingship — to renewed covenant faithfulness, because His commitment to them does not dissolve with their failure, and neither does their accountability.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Israel’s sin in requesting a king</w:t>
      </w:r>
      <w:r>
        <w:t xml:space="preserve">: A significant interpretive question is whether requesting a king was inherently sinful or situationally sinful. Dispensational readings tend to treat the monarchy as a providentially anticipated institution (cf. Deuteronomy 17:14–20) and locate the sin narrowly in the people’s</w:t>
      </w:r>
      <w:r>
        <w:t xml:space="preserve"> </w:t>
      </w:r>
      <w:r>
        <w:rPr>
          <w:i/>
          <w:iCs/>
        </w:rPr>
        <w:t xml:space="preserve">motive</w:t>
      </w:r>
      <w:r>
        <w:t xml:space="preserve"> </w:t>
      </w:r>
      <w:r>
        <w:t xml:space="preserve">— seeking security through human kingship rather than trust in the LORD. The Reformed reading agrees that kingship itself was not forbidden but emphasizes what Samuel makes explicit in verse 12: the sin was the</w:t>
      </w:r>
      <w:r>
        <w:t xml:space="preserve"> </w:t>
      </w:r>
      <w:r>
        <w:rPr>
          <w:i/>
          <w:iCs/>
        </w:rPr>
        <w:t xml:space="preserve">replacement theology</w:t>
      </w:r>
      <w:r>
        <w:t xml:space="preserve"> </w:t>
      </w:r>
      <w:r>
        <w:t xml:space="preserve">embedded in the demand — they wanted a king</w:t>
      </w:r>
      <w:r>
        <w:t xml:space="preserve"> </w:t>
      </w:r>
      <w:r>
        <w:rPr>
          <w:i/>
          <w:iCs/>
        </w:rPr>
        <w:t xml:space="preserve">instead of</w:t>
      </w:r>
      <w:r>
        <w:t xml:space="preserve"> </w:t>
      </w:r>
      <w:r>
        <w:t xml:space="preserve">the LORD as their king, at the precise moment when covenant faithfulness required crying to God. The sin was not structural (wanting a king) but covenantal (wanting a king as a substitute for trust). The text supports the Reformed reading: Samuel does not say</w:t>
      </w:r>
      <w:r>
        <w:t xml:space="preserve"> </w:t>
      </w:r>
      <w:r>
        <w:t xml:space="preserve">“asking for a king is always wrong”</w:t>
      </w:r>
      <w:r>
        <w:t xml:space="preserve"> </w:t>
      </w:r>
      <w:r>
        <w:t xml:space="preserve">but</w:t>
      </w:r>
      <w:r>
        <w:t xml:space="preserve"> </w:t>
      </w:r>
      <w:r>
        <w:t xml:space="preserve">“you have done this evil thing in asking for a king”</w:t>
      </w:r>
      <w:r>
        <w:t xml:space="preserve"> </w:t>
      </w:r>
      <w:r>
        <w:t xml:space="preserve">in this context and for these reasons (v. 17). The motive-focused reading is partially right but underweights the covenant-structural dimension — this was not merely an attitude problem but a formal rejection of theocratic dependence.</w:t>
      </w:r>
    </w:p>
    <w:p>
      <w:pPr>
        <w:pStyle w:val="BodyText"/>
      </w:pPr>
      <w:r>
        <w:rPr>
          <w:b/>
          <w:bCs/>
        </w:rPr>
        <w:t xml:space="preserve">Samuel’s self-vindication (vv. 1–5)</w:t>
      </w:r>
      <w:r>
        <w:t xml:space="preserve">: Some traditions read Samuel’s self-defense as defensive pride or loss of perspective in old age. A more careful reading recognizes that in ANE covenant contexts, the integrity of the covenant mediator was load-bearing for the covenant itself — Samuel establishes his authority to speak the covenant terms precisely by establishing that he has not corrupted his office. This is not ego; it is juridical ground-clearing. The people’s affirmation of his integrity in verse 5 functions as a courtroom witness statement before the LORD, setting up the contrast between Samuel’s faithfulness and Israel’s unfaithfulness.</w:t>
      </w:r>
    </w:p>
    <w:p>
      <w:pPr>
        <w:pStyle w:val="BodyText"/>
      </w:pPr>
      <w:r>
        <w:rPr>
          <w:b/>
          <w:bCs/>
        </w:rPr>
        <w:t xml:space="preserve">The Wesleyan/Arminian reading of verses 14–15</w:t>
      </w:r>
      <w:r>
        <w:t xml:space="preserve">: Arminian interpreters sometimes use this passage to argue for conditional election — God’s blessing is contingent on obedience, suggesting that covenant standing is maintained by ongoing moral performance. The Reformed reading does not deny conditionality in the covenant’s external administration; it distinguishes between the Mosaic covenant’s blessings-and-curses structure (which is indeed conditional, as vv. 14–15 reflect) and the underlying Abrahamic covenant of grace. Samuel’s warning does not threaten the dissolution of God’s redemptive purposes — it threatens the discipline and eventual judgment that covenant unfaithfulness brings within the administering of those purposes. The passage itself holds both:</w:t>
      </w:r>
      <w:r>
        <w:t xml:space="preserve"> </w:t>
      </w:r>
      <w:r>
        <w:t xml:space="preserve">“do not turn away to idols”</w:t>
      </w:r>
      <w:r>
        <w:t xml:space="preserve"> </w:t>
      </w:r>
      <w:r>
        <w:t xml:space="preserve">(v. 21) is not a threat to revoke election; it is a pastoral summons within ongoing grace, as verse 22 immediately confirms:</w:t>
      </w:r>
      <w:r>
        <w:t xml:space="preserve"> </w:t>
      </w:r>
      <w:r>
        <w:rPr>
          <w:i/>
          <w:iCs/>
        </w:rPr>
        <w:t xml:space="preserve">“the LORD will not abandon His people, for His great name’s sake.”</w:t>
      </w:r>
    </w:p>
    <w:p>
      <w:pPr>
        <w:pStyle w:val="BodyText"/>
      </w:pPr>
      <w:r>
        <w:rPr>
          <w:b/>
          <w:bCs/>
        </w:rPr>
        <w:t xml:space="preserve">Reformed verdict</w:t>
      </w:r>
      <w:r>
        <w:t xml:space="preserve">: The Reformed reading best accounts for the chapter’s double movement — genuine divine displeasure at covenant sin, and the unwillingness of the covenant God to release His people. The conditional warnings are real and must not be softened; the unconditional commitment of verse 22 is equally real and must not be buried. Both must preach.</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17:14–20</w:t>
      </w:r>
      <w:r>
        <w:t xml:space="preserve"> </w:t>
      </w:r>
      <w:r>
        <w:t xml:space="preserve">— Anticipates the monarchy under covenant terms; Israel’s sin was not in wanting a king but in wanting one outside of covenant trust, confirming the Reformed reading of the nature of the sin.</w:t>
      </w:r>
    </w:p>
    <w:p>
      <w:pPr>
        <w:pStyle w:val="Compact"/>
        <w:numPr>
          <w:ilvl w:val="0"/>
          <w:numId w:val="1001"/>
        </w:numPr>
      </w:pPr>
      <w:r>
        <w:rPr>
          <w:b/>
          <w:bCs/>
        </w:rPr>
        <w:t xml:space="preserve">Psalm 78</w:t>
      </w:r>
      <w:r>
        <w:t xml:space="preserve"> </w:t>
      </w:r>
      <w:r>
        <w:t xml:space="preserve">— A sustained meditation on Israel’s pattern of forgetting, judgment, and restoration; provides the canonical backdrop for Samuel’s covenant history rehearsal (vv. 6–11) and shows the psalm tradition processing this same dynamic.</w:t>
      </w:r>
    </w:p>
    <w:p>
      <w:pPr>
        <w:pStyle w:val="Compact"/>
        <w:numPr>
          <w:ilvl w:val="0"/>
          <w:numId w:val="1001"/>
        </w:numPr>
      </w:pPr>
      <w:r>
        <w:rPr>
          <w:b/>
          <w:bCs/>
        </w:rPr>
        <w:t xml:space="preserve">Nehemiah 9</w:t>
      </w:r>
      <w:r>
        <w:t xml:space="preserve"> </w:t>
      </w:r>
      <w:r>
        <w:t xml:space="preserve">— The great post-exilic covenant prayer follows exactly Samuel’s pattern: rehearsal of saving acts, confession of the pattern of rebellion, acknowledgment of covenant justice, and appeal to God’s ongoing mercy; demonstrates that 1 Samuel 12’s structure became a canonical template for covenant renewal.</w:t>
      </w:r>
    </w:p>
    <w:p>
      <w:pPr>
        <w:pStyle w:val="Compact"/>
        <w:numPr>
          <w:ilvl w:val="0"/>
          <w:numId w:val="1001"/>
        </w:numPr>
      </w:pPr>
      <w:r>
        <w:rPr>
          <w:b/>
          <w:bCs/>
        </w:rPr>
        <w:t xml:space="preserve">Romans 11:1–2, 28–29</w:t>
      </w:r>
      <w:r>
        <w:t xml:space="preserve"> </w:t>
      </w:r>
      <w:r>
        <w:t xml:space="preserve">— Paul’s declaration that</w:t>
      </w:r>
      <w:r>
        <w:t xml:space="preserve"> </w:t>
      </w:r>
      <w:r>
        <w:t xml:space="preserve">“God has not rejected His people”</w:t>
      </w:r>
      <w:r>
        <w:t xml:space="preserve"> </w:t>
      </w:r>
      <w:r>
        <w:t xml:space="preserve">and that</w:t>
      </w:r>
      <w:r>
        <w:t xml:space="preserve"> </w:t>
      </w:r>
      <w:r>
        <w:t xml:space="preserve">“the gifts and calling of God are irrevocable”</w:t>
      </w:r>
      <w:r>
        <w:t xml:space="preserve"> </w:t>
      </w:r>
      <w:r>
        <w:t xml:space="preserve">provides the New Covenant grounding for Samuel’s assertion in verse 22 that the LORD will not abandon His people for His name’s sake.</w:t>
      </w:r>
    </w:p>
    <w:p>
      <w:pPr>
        <w:pStyle w:val="Compact"/>
        <w:numPr>
          <w:ilvl w:val="0"/>
          <w:numId w:val="1001"/>
        </w:numPr>
      </w:pPr>
      <w:r>
        <w:rPr>
          <w:b/>
          <w:bCs/>
        </w:rPr>
        <w:t xml:space="preserve">1 John 2:1–2</w:t>
      </w:r>
      <w:r>
        <w:t xml:space="preserve"> </w:t>
      </w:r>
      <w:r>
        <w:t xml:space="preserve">— John’s structure parallels Samuel’s closing exhortation:</w:t>
      </w:r>
      <w:r>
        <w:t xml:space="preserve"> </w:t>
      </w:r>
      <w:r>
        <w:t xml:space="preserve">“I am writing these things so that you may not sin — but if anyone does sin, we have an advocate”</w:t>
      </w:r>
      <w:r>
        <w:t xml:space="preserve">; the pattern of</w:t>
      </w:r>
      <w:r>
        <w:t xml:space="preserve"> </w:t>
      </w:r>
      <w:r>
        <w:t xml:space="preserve">“do not sin, but if you sin there is provision”</w:t>
      </w:r>
      <w:r>
        <w:t xml:space="preserve"> </w:t>
      </w:r>
      <w:r>
        <w:t xml:space="preserve">echoes Samuel’s</w:t>
      </w:r>
      <w:r>
        <w:t xml:space="preserve"> </w:t>
      </w:r>
      <w:r>
        <w:t xml:space="preserve">“do not turn to idols — but the LORD will not abandon you.”</w:t>
      </w:r>
    </w:p>
    <w:p>
      <w:r>
        <w:pict>
          <v:rect style="width:0;height:1.5pt" o:hralign="center" o:hrstd="t" o:hr="t"/>
        </w:pict>
      </w:r>
    </w:p>
    <w:p>
      <w:pPr>
        <w:pStyle w:val="FirstParagraph"/>
      </w:pPr>
      <w:r>
        <w:rPr>
          <w:b/>
          <w:bCs/>
        </w:rPr>
        <w:t xml:space="preserve">Aim:</w:t>
      </w:r>
      <w:r>
        <w:t xml:space="preserve"> </w:t>
      </w:r>
      <w:r>
        <w:t xml:space="preserve">To confront the reader with the seriousness of replacing trust in God with substitutes, and to summon them to wholehearted covenant faithfulness within the assurance that God’s commitment to His own does not expire with their failure.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Samuel announces his retirement; notes he has led Israel from youth and is now old; his sons are among them</w:t>
            </w:r>
          </w:p>
        </w:tc>
        <w:tc>
          <w:tcPr/>
          <w:p>
            <w:pPr>
              <w:pStyle w:val="Compact"/>
            </w:pPr>
            <w:r>
              <w:t xml:space="preserve">Sets up the integrity hearing; the mention of his sons is not incidental — the people’s original complaint about Samuel’s corrupt sons prompted the demand for a king (1 Sam. 8:3–5)</w:t>
            </w:r>
          </w:p>
        </w:tc>
      </w:tr>
      <w:tr>
        <w:tc>
          <w:tcPr/>
          <w:p>
            <w:pPr>
              <w:pStyle w:val="Compact"/>
            </w:pPr>
            <w:r>
              <w:t xml:space="preserve">3</w:t>
            </w:r>
          </w:p>
        </w:tc>
        <w:tc>
          <w:tcPr/>
          <w:p>
            <w:pPr>
              <w:pStyle w:val="Compact"/>
            </w:pPr>
            <w:r>
              <w:t xml:space="preserve">Samuel invites formal accusation:</w:t>
            </w:r>
            <w:r>
              <w:t xml:space="preserve"> </w:t>
            </w:r>
            <w:r>
              <w:t xml:space="preserve">“Here I am — testify against me before the LORD”</w:t>
            </w:r>
          </w:p>
        </w:tc>
        <w:tc>
          <w:tcPr/>
          <w:p>
            <w:pPr>
              <w:pStyle w:val="Compact"/>
            </w:pPr>
            <w:r>
              <w:t xml:space="preserve">Judicial formula; places the self-examination before the divine witness</w:t>
            </w:r>
          </w:p>
        </w:tc>
      </w:tr>
      <w:tr>
        <w:tc>
          <w:tcPr/>
          <w:p>
            <w:pPr>
              <w:pStyle w:val="Compact"/>
            </w:pPr>
            <w:r>
              <w:t xml:space="preserve">4</w:t>
            </w:r>
          </w:p>
        </w:tc>
        <w:tc>
          <w:tcPr/>
          <w:p>
            <w:pPr>
              <w:pStyle w:val="Compact"/>
            </w:pPr>
            <w:r>
              <w:t xml:space="preserve">The people affirm Samuel’s integrity across all categories of potential corruption</w:t>
            </w:r>
          </w:p>
        </w:tc>
        <w:tc>
          <w:tcPr/>
          <w:p>
            <w:pPr>
              <w:pStyle w:val="Compact"/>
            </w:pPr>
            <w:r>
              <w:t xml:space="preserve">Their testimony is unanimous and unqualified</w:t>
            </w:r>
          </w:p>
        </w:tc>
      </w:tr>
      <w:tr>
        <w:tc>
          <w:tcPr/>
          <w:p>
            <w:pPr>
              <w:pStyle w:val="Compact"/>
            </w:pPr>
            <w:r>
              <w:t xml:space="preserve">5</w:t>
            </w:r>
          </w:p>
        </w:tc>
        <w:tc>
          <w:tcPr/>
          <w:p>
            <w:pPr>
              <w:pStyle w:val="Compact"/>
            </w:pPr>
            <w:r>
              <w:t xml:space="preserve">Samuel calls the LORD and His anointed as witnesses to this verdict</w:t>
            </w:r>
          </w:p>
        </w:tc>
        <w:tc>
          <w:tcPr/>
          <w:p>
            <w:pPr>
              <w:pStyle w:val="Compact"/>
            </w:pPr>
            <w:r>
              <w:t xml:space="preserve">“His anointed”</w:t>
            </w:r>
            <w:r>
              <w:t xml:space="preserve"> </w:t>
            </w:r>
            <w:r>
              <w:t xml:space="preserve">= Saul; the new king is bound into the covenant witness from the outset</w:t>
            </w:r>
          </w:p>
        </w:tc>
      </w:tr>
      <w:tr>
        <w:tc>
          <w:tcPr/>
          <w:p>
            <w:pPr>
              <w:pStyle w:val="Compact"/>
            </w:pPr>
            <w:r>
              <w:t xml:space="preserve">6–8</w:t>
            </w:r>
          </w:p>
        </w:tc>
        <w:tc>
          <w:tcPr/>
          <w:p>
            <w:pPr>
              <w:pStyle w:val="Compact"/>
            </w:pPr>
            <w:r>
              <w:t xml:space="preserve">Samuel grounds his authority in the LORD’s covenant acts from Moses and Aaron through the Exodus</w:t>
            </w:r>
          </w:p>
        </w:tc>
        <w:tc>
          <w:tcPr/>
          <w:p>
            <w:pPr>
              <w:pStyle w:val="Compact"/>
            </w:pPr>
            <w:r>
              <w:t xml:space="preserve">Establishes the redemptive-historical framework for the covenant charge to follow</w:t>
            </w:r>
          </w:p>
        </w:tc>
      </w:tr>
      <w:tr>
        <w:tc>
          <w:tcPr/>
          <w:p>
            <w:pPr>
              <w:pStyle w:val="Compact"/>
            </w:pPr>
            <w:r>
              <w:t xml:space="preserve">9</w:t>
            </w:r>
          </w:p>
        </w:tc>
        <w:tc>
          <w:tcPr/>
          <w:p>
            <w:pPr>
              <w:pStyle w:val="Compact"/>
            </w:pPr>
            <w:r>
              <w:t xml:space="preserve">Israel forgot the LORD; He gave them into the hands of Sisera, the Philistines, and Moab</w:t>
            </w:r>
          </w:p>
        </w:tc>
        <w:tc>
          <w:tcPr/>
          <w:p>
            <w:pPr>
              <w:pStyle w:val="Compact"/>
            </w:pPr>
            <w:r>
              <w:t xml:space="preserve">The first instance of the rebellion-judgment pattern</w:t>
            </w:r>
          </w:p>
        </w:tc>
      </w:tr>
      <w:tr>
        <w:tc>
          <w:tcPr/>
          <w:p>
            <w:pPr>
              <w:pStyle w:val="Compact"/>
            </w:pPr>
            <w:r>
              <w:t xml:space="preserve">10</w:t>
            </w:r>
          </w:p>
        </w:tc>
        <w:tc>
          <w:tcPr/>
          <w:p>
            <w:pPr>
              <w:pStyle w:val="Compact"/>
            </w:pPr>
            <w:r>
              <w:t xml:space="preserve">Israel cried out, confessing sin and idolatry, and asked for deliverance</w:t>
            </w:r>
          </w:p>
        </w:tc>
        <w:tc>
          <w:tcPr/>
          <w:p>
            <w:pPr>
              <w:pStyle w:val="Compact"/>
            </w:pPr>
            <w:r>
              <w:t xml:space="preserve">The pattern: forget → suffer → confess → cry</w:t>
            </w:r>
          </w:p>
        </w:tc>
      </w:tr>
      <w:tr>
        <w:tc>
          <w:tcPr/>
          <w:p>
            <w:pPr>
              <w:pStyle w:val="Compact"/>
            </w:pPr>
            <w:r>
              <w:t xml:space="preserve">11</w:t>
            </w:r>
          </w:p>
        </w:tc>
        <w:tc>
          <w:tcPr/>
          <w:p>
            <w:pPr>
              <w:pStyle w:val="Compact"/>
            </w:pPr>
            <w:r>
              <w:t xml:space="preserve">The LORD sent deliverers: Jerub-baal, Bedan, Jephthah, Samuel</w:t>
            </w:r>
          </w:p>
        </w:tc>
        <w:tc>
          <w:tcPr/>
          <w:p>
            <w:pPr>
              <w:pStyle w:val="Compact"/>
            </w:pPr>
            <w:r>
              <w:t xml:space="preserve">Samuel includes himself in the list of judges — his own ministry was part of this recurring cycle</w:t>
            </w:r>
          </w:p>
        </w:tc>
      </w:tr>
      <w:tr>
        <w:tc>
          <w:tcPr/>
          <w:p>
            <w:pPr>
              <w:pStyle w:val="Compact"/>
            </w:pPr>
            <w:r>
              <w:t xml:space="preserve">12</w:t>
            </w:r>
          </w:p>
        </w:tc>
        <w:tc>
          <w:tcPr/>
          <w:p>
            <w:pPr>
              <w:pStyle w:val="Compact"/>
            </w:pPr>
            <w:r>
              <w:t xml:space="preserve">When Nahash threatened, Israel demanded a king — though the LORD their God was their king</w:t>
            </w:r>
          </w:p>
        </w:tc>
        <w:tc>
          <w:tcPr/>
          <w:p>
            <w:pPr>
              <w:pStyle w:val="Compact"/>
            </w:pPr>
            <w:r>
              <w:t xml:space="preserve">The covenant indictment: the sin was functional rejection of divine kingship at the precise moment when trust was required</w:t>
            </w:r>
          </w:p>
        </w:tc>
      </w:tr>
      <w:tr>
        <w:tc>
          <w:tcPr/>
          <w:p>
            <w:pPr>
              <w:pStyle w:val="Compact"/>
            </w:pPr>
            <w:r>
              <w:t xml:space="preserve">13–14</w:t>
            </w:r>
          </w:p>
        </w:tc>
        <w:tc>
          <w:tcPr/>
          <w:p>
            <w:pPr>
              <w:pStyle w:val="Compact"/>
            </w:pPr>
            <w:r>
              <w:t xml:space="preserve">Saul has been given; covenant terms stated positively — if king and people fear and obey the LORD, all will be well</w:t>
            </w:r>
          </w:p>
        </w:tc>
        <w:tc>
          <w:tcPr/>
          <w:p>
            <w:pPr>
              <w:pStyle w:val="Compact"/>
            </w:pPr>
            <w:r>
              <w:t xml:space="preserve">The monarchy is not revoked; it is placed under covenant</w:t>
            </w:r>
          </w:p>
        </w:tc>
      </w:tr>
      <w:tr>
        <w:tc>
          <w:tcPr/>
          <w:p>
            <w:pPr>
              <w:pStyle w:val="Compact"/>
            </w:pPr>
            <w:r>
              <w:t xml:space="preserve">15</w:t>
            </w:r>
          </w:p>
        </w:tc>
        <w:tc>
          <w:tcPr/>
          <w:p>
            <w:pPr>
              <w:pStyle w:val="Compact"/>
            </w:pPr>
            <w:r>
              <w:t xml:space="preserve">Negative covenant terms — if they rebel, the hand of the LORD will be against them as it was against their fathers</w:t>
            </w:r>
          </w:p>
        </w:tc>
        <w:tc>
          <w:tcPr/>
          <w:p>
            <w:pPr>
              <w:pStyle w:val="Compact"/>
            </w:pPr>
            <w:r>
              <w:t xml:space="preserve">Maintains the full weight of covenant sanctions</w:t>
            </w:r>
          </w:p>
        </w:tc>
      </w:tr>
      <w:tr>
        <w:tc>
          <w:tcPr/>
          <w:p>
            <w:pPr>
              <w:pStyle w:val="Compact"/>
            </w:pPr>
            <w:r>
              <w:t xml:space="preserve">16–18</w:t>
            </w:r>
          </w:p>
        </w:tc>
        <w:tc>
          <w:tcPr/>
          <w:p>
            <w:pPr>
              <w:pStyle w:val="Compact"/>
            </w:pPr>
            <w:r>
              <w:t xml:space="preserve">Samuel calls for a covenant sign: thunder and rain in wheat harvest season; the LORD sends it; the people greatly fear</w:t>
            </w:r>
          </w:p>
        </w:tc>
        <w:tc>
          <w:tcPr/>
          <w:p>
            <w:pPr>
              <w:pStyle w:val="Compact"/>
            </w:pPr>
            <w:r>
              <w:t xml:space="preserve">Wheat harvest (May–June) was consistently dry in Canaan; rain was impossible by normal weather patterns — unmistakably a divine act</w:t>
            </w:r>
          </w:p>
        </w:tc>
      </w:tr>
      <w:tr>
        <w:tc>
          <w:tcPr/>
          <w:p>
            <w:pPr>
              <w:pStyle w:val="Compact"/>
            </w:pPr>
            <w:r>
              <w:t xml:space="preserve">19</w:t>
            </w:r>
          </w:p>
        </w:tc>
        <w:tc>
          <w:tcPr/>
          <w:p>
            <w:pPr>
              <w:pStyle w:val="Compact"/>
            </w:pPr>
            <w:r>
              <w:t xml:space="preserve">The people confess their sin and ask Samuel to pray for them</w:t>
            </w:r>
          </w:p>
        </w:tc>
        <w:tc>
          <w:tcPr/>
          <w:p>
            <w:pPr>
              <w:pStyle w:val="Compact"/>
            </w:pPr>
            <w:r>
              <w:t xml:space="preserve">Fear produces confession; they have grasped the gravity of the moment</w:t>
            </w:r>
          </w:p>
        </w:tc>
      </w:tr>
      <w:tr>
        <w:tc>
          <w:tcPr/>
          <w:p>
            <w:pPr>
              <w:pStyle w:val="Compact"/>
            </w:pPr>
            <w:r>
              <w:t xml:space="preserve">20–21</w:t>
            </w:r>
          </w:p>
        </w:tc>
        <w:tc>
          <w:tcPr/>
          <w:p>
            <w:pPr>
              <w:pStyle w:val="Compact"/>
            </w:pPr>
            <w:r>
              <w:t xml:space="preserve">Samuel refuses to catastrophize:</w:t>
            </w:r>
            <w:r>
              <w:t xml:space="preserve"> </w:t>
            </w:r>
            <w:r>
              <w:t xml:space="preserve">“Do not be afraid — but serve the LORD with all your heart; do not turn to idols”</w:t>
            </w:r>
          </w:p>
        </w:tc>
        <w:tc>
          <w:tcPr/>
          <w:p>
            <w:pPr>
              <w:pStyle w:val="Compact"/>
            </w:pPr>
            <w:r>
              <w:t xml:space="preserve">The pastoral pivot: the sign was not sent to destroy but to awaken; fear is the right response but despair is not the goal</w:t>
            </w:r>
          </w:p>
        </w:tc>
      </w:tr>
      <w:tr>
        <w:tc>
          <w:tcPr/>
          <w:p>
            <w:pPr>
              <w:pStyle w:val="Compact"/>
            </w:pPr>
            <w:r>
              <w:t xml:space="preserve">22</w:t>
            </w:r>
          </w:p>
        </w:tc>
        <w:tc>
          <w:tcPr/>
          <w:p>
            <w:pPr>
              <w:pStyle w:val="Compact"/>
            </w:pPr>
            <w:r>
              <w:t xml:space="preserve">The LORD will not abandon His people for His great name’s sake; He was pleased to make them His own</w:t>
            </w:r>
          </w:p>
        </w:tc>
        <w:tc>
          <w:tcPr/>
          <w:p>
            <w:pPr>
              <w:pStyle w:val="Compact"/>
            </w:pPr>
            <w:r>
              <w:t xml:space="preserve">The theological anchor: covenant faithfulness rests on God’s commitment to His own glory, not on Israel’s performance</w:t>
            </w:r>
          </w:p>
        </w:tc>
      </w:tr>
      <w:tr>
        <w:tc>
          <w:tcPr/>
          <w:p>
            <w:pPr>
              <w:pStyle w:val="Compact"/>
            </w:pPr>
            <w:r>
              <w:t xml:space="preserve">23</w:t>
            </w:r>
          </w:p>
        </w:tc>
        <w:tc>
          <w:tcPr/>
          <w:p>
            <w:pPr>
              <w:pStyle w:val="Compact"/>
            </w:pPr>
            <w:r>
              <w:t xml:space="preserve">Samuel commits to ongoing intercession and instruction —</w:t>
            </w:r>
            <w:r>
              <w:t xml:space="preserve"> </w:t>
            </w:r>
            <w:r>
              <w:t xml:space="preserve">“it would be sin for me to stop praying for you”</w:t>
            </w:r>
          </w:p>
        </w:tc>
        <w:tc>
          <w:tcPr/>
          <w:p>
            <w:pPr>
              <w:pStyle w:val="Compact"/>
            </w:pPr>
            <w:r>
              <w:t xml:space="preserve">Covenant faithfulness in ministry: Samuel’s personal grievance does not sever his pastoral obligation</w:t>
            </w:r>
          </w:p>
        </w:tc>
      </w:tr>
      <w:tr>
        <w:tc>
          <w:tcPr/>
          <w:p>
            <w:pPr>
              <w:pStyle w:val="Compact"/>
            </w:pPr>
            <w:r>
              <w:t xml:space="preserve">24–25</w:t>
            </w:r>
          </w:p>
        </w:tc>
        <w:tc>
          <w:tcPr/>
          <w:p>
            <w:pPr>
              <w:pStyle w:val="Compact"/>
            </w:pPr>
            <w:r>
              <w:t xml:space="preserve">Final exhortation: remember what the LORD has done; fear and serve Him; if you persist in evil you will be swept away</w:t>
            </w:r>
          </w:p>
        </w:tc>
        <w:tc>
          <w:tcPr/>
          <w:p>
            <w:pPr>
              <w:pStyle w:val="Compact"/>
            </w:pPr>
            <w:r>
              <w:t xml:space="preserve">The chapter ends with both poles held: grace extended and accountability maintained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Samuel’s Integrity: The Covenant Mediator Vindicated</w:t>
            </w:r>
          </w:p>
        </w:tc>
      </w:tr>
      <w:tr>
        <w:tc>
          <w:tcPr/>
          <w:p>
            <w:pPr>
              <w:pStyle w:val="Compact"/>
            </w:pPr>
            <w:r>
              <w:t xml:space="preserve">2</w:t>
            </w:r>
          </w:p>
        </w:tc>
        <w:tc>
          <w:tcPr/>
          <w:p>
            <w:pPr>
              <w:pStyle w:val="Compact"/>
            </w:pPr>
            <w:r>
              <w:t xml:space="preserve">6–12</w:t>
            </w:r>
          </w:p>
        </w:tc>
        <w:tc>
          <w:tcPr/>
          <w:p>
            <w:pPr>
              <w:pStyle w:val="Compact"/>
            </w:pPr>
            <w:r>
              <w:t xml:space="preserve">Israel’s Record: The Covenant People Indicted</w:t>
            </w:r>
          </w:p>
        </w:tc>
      </w:tr>
      <w:tr>
        <w:tc>
          <w:tcPr/>
          <w:p>
            <w:pPr>
              <w:pStyle w:val="Compact"/>
            </w:pPr>
            <w:r>
              <w:t xml:space="preserve">3</w:t>
            </w:r>
          </w:p>
        </w:tc>
        <w:tc>
          <w:tcPr/>
          <w:p>
            <w:pPr>
              <w:pStyle w:val="Compact"/>
            </w:pPr>
            <w:r>
              <w:t xml:space="preserve">13–15</w:t>
            </w:r>
          </w:p>
        </w:tc>
        <w:tc>
          <w:tcPr/>
          <w:p>
            <w:pPr>
              <w:pStyle w:val="Compact"/>
            </w:pPr>
            <w:r>
              <w:t xml:space="preserve">Covenant Terms Restated: The Monarchy Under Grace and Accountability</w:t>
            </w:r>
          </w:p>
        </w:tc>
      </w:tr>
      <w:tr>
        <w:tc>
          <w:tcPr/>
          <w:p>
            <w:pPr>
              <w:pStyle w:val="Compact"/>
            </w:pPr>
            <w:r>
              <w:t xml:space="preserve">4</w:t>
            </w:r>
          </w:p>
        </w:tc>
        <w:tc>
          <w:tcPr/>
          <w:p>
            <w:pPr>
              <w:pStyle w:val="Compact"/>
            </w:pPr>
            <w:r>
              <w:t xml:space="preserve">16–19</w:t>
            </w:r>
          </w:p>
        </w:tc>
        <w:tc>
          <w:tcPr/>
          <w:p>
            <w:pPr>
              <w:pStyle w:val="Compact"/>
            </w:pPr>
            <w:r>
              <w:t xml:space="preserve">The Covenant Sign: Thunder at Harvest Awakens Fear and Confession</w:t>
            </w:r>
          </w:p>
        </w:tc>
      </w:tr>
      <w:tr>
        <w:tc>
          <w:tcPr/>
          <w:p>
            <w:pPr>
              <w:pStyle w:val="Compact"/>
            </w:pPr>
            <w:r>
              <w:t xml:space="preserve">5</w:t>
            </w:r>
          </w:p>
        </w:tc>
        <w:tc>
          <w:tcPr/>
          <w:p>
            <w:pPr>
              <w:pStyle w:val="Compact"/>
            </w:pPr>
            <w:r>
              <w:t xml:space="preserve">20–25</w:t>
            </w:r>
          </w:p>
        </w:tc>
        <w:tc>
          <w:tcPr/>
          <w:p>
            <w:pPr>
              <w:pStyle w:val="Compact"/>
            </w:pPr>
            <w:r>
              <w:t xml:space="preserve">The Covenant Summons: Do Not Be Afraid — But Do Not Turn Away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Samuel’s farewell confronts Israel’s covenant failure and calls them to wholehearted obedience under the grace that still remains.</w:t>
      </w:r>
    </w:p>
    <w:p>
      <w:pPr>
        <w:pStyle w:val="BodyText"/>
      </w:pPr>
      <w:r>
        <w:rPr>
          <w:b/>
          <w:bCs/>
        </w:rPr>
        <w:t xml:space="preserve">Primary Claim:</w:t>
      </w:r>
      <w:r>
        <w:t xml:space="preserve"> </w:t>
      </w:r>
      <w:r>
        <w:t xml:space="preserve">God summons His people — even after they have sinned against His kingship — to renewed covenant faithfulness, because His commitment to them does not dissolve with their failure, and neither does their accountability.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specific form your rejection of God’s kingship takes.</w:t>
      </w:r>
      <w:r>
        <w:t xml:space="preserve"> </w:t>
      </w:r>
      <w:r>
        <w:rPr>
          <w:i/>
          <w:iCs/>
        </w:rPr>
        <w:t xml:space="preserve">(Mind/belief)</w:t>
      </w:r>
      <w:r>
        <w:t xml:space="preserve"> </w:t>
      </w:r>
      <w:r>
        <w:t xml:space="preserve">Israel’s sin was not generic irreligion — they were still Yahweh-worshippers who wanted a king. Their idolatry was a</w:t>
      </w:r>
      <w:r>
        <w:t xml:space="preserve"> </w:t>
      </w:r>
      <w:r>
        <w:rPr>
          <w:i/>
          <w:iCs/>
        </w:rPr>
        <w:t xml:space="preserve">substitute security</w:t>
      </w:r>
      <w:r>
        <w:t xml:space="preserve"> </w:t>
      </w:r>
      <w:r>
        <w:t xml:space="preserve">— something that would do what God was supposed to do, only with more predictable, visible results. The passage calls readers to name their functional kings specifically: the career that is supposed to provide the security God alone gives, the relationship that is supposed to provide the acceptance only God can give, the financial margin that is supposed to deliver the peace only trust in God provides. Naming the substitute is the beginning of repentance.</w:t>
      </w:r>
    </w:p>
    <w:p>
      <w:pPr>
        <w:pStyle w:val="BodyText"/>
      </w:pPr>
      <w:r>
        <w:rPr>
          <w:b/>
          <w:bCs/>
        </w:rPr>
        <w:t xml:space="preserve">2. Let the record of God’s saving acts displace the anxiety that drives you toward substitutes.</w:t>
      </w:r>
      <w:r>
        <w:t xml:space="preserve"> </w:t>
      </w:r>
      <w:r>
        <w:rPr>
          <w:i/>
          <w:iCs/>
        </w:rPr>
        <w:t xml:space="preserve">(Affections/worship)</w:t>
      </w:r>
      <w:r>
        <w:t xml:space="preserve"> </w:t>
      </w:r>
      <w:r>
        <w:t xml:space="preserve">Samuel’s covenant history rehearsal in verses 6–11 is not an academic recitation — it is an affectional recalibration. He is asking Israel to</w:t>
      </w:r>
      <w:r>
        <w:t xml:space="preserve"> </w:t>
      </w:r>
      <w:r>
        <w:rPr>
          <w:i/>
          <w:iCs/>
        </w:rPr>
        <w:t xml:space="preserve">feel the weight</w:t>
      </w:r>
      <w:r>
        <w:t xml:space="preserve"> </w:t>
      </w:r>
      <w:r>
        <w:t xml:space="preserve">of what the LORD has actually done before they evaluate what they think they need. The congregation needs to be regularly walked through the record of God’s faithfulness — personally, historically, canonically — not as information but as worship, until the heart is more anchored in what God has done than in what it fears He might not do. This is why personal testimony, psalm-singing, and communion are not supplementary to the Christian life but structural to it.</w:t>
      </w:r>
    </w:p>
    <w:p>
      <w:pPr>
        <w:pStyle w:val="BodyText"/>
      </w:pPr>
      <w:r>
        <w:rPr>
          <w:b/>
          <w:bCs/>
        </w:rPr>
        <w:t xml:space="preserve">3. Hold together what this passage refuses to separate: God’s genuine displeasure at sin and His unwavering commitment to His own.</w:t>
      </w:r>
      <w:r>
        <w:t xml:space="preserve"> </w:t>
      </w:r>
      <w:r>
        <w:rPr>
          <w:i/>
          <w:iCs/>
        </w:rPr>
        <w:t xml:space="preserve">(Mind/belief)</w:t>
      </w:r>
      <w:r>
        <w:t xml:space="preserve"> </w:t>
      </w:r>
      <w:r>
        <w:t xml:space="preserve">Many readers will want to resolve the tension of 1 Samuel 12 in one of two directions: minimize the covenant indictment (</w:t>
      </w:r>
      <w:r>
        <w:t xml:space="preserve">“God isn’t really that upset — He’s going to work it all out”</w:t>
      </w:r>
      <w:r>
        <w:t xml:space="preserve">) or maximize it in a way that undermines assurance (</w:t>
      </w:r>
      <w:r>
        <w:t xml:space="preserve">“if God is this displeased, how can I know I’m still His?”</w:t>
      </w:r>
      <w:r>
        <w:t xml:space="preserve">). Samuel refuses both moves. Verse 17 (</w:t>
      </w:r>
      <w:r>
        <w:t xml:space="preserve">“this evil thing you have done”</w:t>
      </w:r>
      <w:r>
        <w:t xml:space="preserve">) and verse 22 (</w:t>
      </w:r>
      <w:r>
        <w:t xml:space="preserve">“the LORD will not abandon His people”</w:t>
      </w:r>
      <w:r>
        <w:t xml:space="preserve">) must both be received without softening either. Mature covenant faith holds both — it neither trivializes sin nor loses confidence in the One who bore sin’s full weight on behalf of His people.</w:t>
      </w:r>
    </w:p>
    <w:p>
      <w:pPr>
        <w:pStyle w:val="BodyText"/>
      </w:pPr>
      <w:r>
        <w:rPr>
          <w:b/>
          <w:bCs/>
        </w:rPr>
        <w:t xml:space="preserve">4. Do not let your grief over others’ spiritual failures become an excuse to stop interceding for them.</w:t>
      </w:r>
      <w:r>
        <w:t xml:space="preserve"> </w:t>
      </w:r>
      <w:r>
        <w:rPr>
          <w:i/>
          <w:iCs/>
        </w:rPr>
        <w:t xml:space="preserve">(Will/behavior)</w:t>
      </w:r>
      <w:r>
        <w:t xml:space="preserve"> </w:t>
      </w:r>
      <w:r>
        <w:t xml:space="preserve">Samuel had every human reason to withdraw from people who had publicly rejected his leadership and the leadership of his God. Instead, he commits in verse 23 to ongoing prayer and instruction, calling it sin to withhold intercession from those who have wronged both him and the LORD. The application is sharp and specific: the person you are most tempted to write off spiritually — the prodigal child, the straying friend, the church that went a direction you grieve — is the person this passage most directly commands you to keep praying for. Cessation of prayer in that relationship may itself be a form of covenant unfaithfulness.</w:t>
      </w:r>
    </w:p>
    <w:p>
      <w:pPr>
        <w:pStyle w:val="BodyText"/>
      </w:pPr>
      <w:r>
        <w:rPr>
          <w:b/>
          <w:bCs/>
        </w:rPr>
        <w:t xml:space="preserve">5. Live in the fear of the LORD that this passage aims to produce — not as terror but as the reorientation of your allegiances.</w:t>
      </w:r>
      <w:r>
        <w:t xml:space="preserve"> </w:t>
      </w:r>
      <w:r>
        <w:rPr>
          <w:i/>
          <w:iCs/>
        </w:rPr>
        <w:t xml:space="preserve">(Affections/worship)</w:t>
      </w:r>
      <w:r>
        <w:t xml:space="preserve"> </w:t>
      </w:r>
      <w:r>
        <w:t xml:space="preserve">The thunder and rain in wheat harvest were not sent to destroy Israel but to produce a particular quality of awe that could not be manufactured by Samuel’s words alone. The people’s fear in verse 18 is the desired response —</w:t>
      </w:r>
      <w:r>
        <w:t xml:space="preserve"> </w:t>
      </w:r>
      <w:r>
        <w:t xml:space="preserve">“the people greatly feared the LORD and Samuel.”</w:t>
      </w:r>
      <w:r>
        <w:t xml:space="preserve"> </w:t>
      </w:r>
      <w:r>
        <w:t xml:space="preserve">But Samuel immediately reframes it in verse 20:</w:t>
      </w:r>
      <w:r>
        <w:t xml:space="preserve"> </w:t>
      </w:r>
      <w:r>
        <w:t xml:space="preserve">“Do not be afraid — but serve the LORD with all your heart.”</w:t>
      </w:r>
      <w:r>
        <w:t xml:space="preserve"> </w:t>
      </w:r>
      <w:r>
        <w:t xml:space="preserve">Godly fear and confident service are not opposites in this passage; the fear is what makes the service wholehearted rather than rote. Ask where your own spiritual life has lost the weight of reverence — where serving God has become dutiful routine rather than the response of someone who has genuinely encountered His majesty and His mercy.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12 provides a canonical portrait of the covenant God who is simultaneously just and tenacious — He will not pretend Israel’s sin is inconsequential, and He will not release Israel from His commitment to them. The LORD’s declaration in verse 22, that He will not abandon His people</w:t>
      </w:r>
      <w:r>
        <w:t xml:space="preserve"> </w:t>
      </w:r>
      <w:r>
        <w:t xml:space="preserve">“for His great name’s sake,”</w:t>
      </w:r>
      <w:r>
        <w:t xml:space="preserve"> </w:t>
      </w:r>
      <w:r>
        <w:t xml:space="preserve">is theologically profound: God’s faithfulness to His covenant people is grounded not in their performance but in the integrity of His own character and the honor of His own name. This prevents the passage from becoming either moralistic (obey and you will be fine) or presumptuous (God will be fine with anything) — the ground of assurance is divine fidelity, not human faithfulness. Samuel’s characterization of idols as things that</w:t>
      </w:r>
      <w:r>
        <w:t xml:space="preserve"> </w:t>
      </w:r>
      <w:r>
        <w:t xml:space="preserve">“cannot profit or deliver”</w:t>
      </w:r>
      <w:r>
        <w:t xml:space="preserve"> </w:t>
      </w:r>
      <w:r>
        <w:t xml:space="preserve">(v. 21) also establishes a theological anthropology of substitution — human beings will always be worshippers, and the question is only whether they will worship the One who can actually deliver or the substitutes that cannot.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in Reformed theology as a case study in the relationship between the Mosaic covenant’s conditional structure and the unconditional covenant of grace underlying it — a distinction central to covenant theology. The conditional warnings of verses 14–15 are genuine and must not be collapsed into unconditional promises; the unconditional commitment of verse 22 is equally genuine and must not be conditioned into mere possibility. The Reformed framework — which distinguishes the covenant of grace (God’s unilateral commitment to redeem a people for His name) from the Mosaic covenant’s typological and administrative conditionality — is the only framework that can hold both without collapsing one into the other. Additionally, Samuel’s pastoral commitment in verse 23 —</w:t>
      </w:r>
      <w:r>
        <w:t xml:space="preserve"> </w:t>
      </w:r>
      <w:r>
        <w:t xml:space="preserve">“it would be sin for me to stop praying for you”</w:t>
      </w:r>
      <w:r>
        <w:t xml:space="preserve"> </w:t>
      </w:r>
      <w:r>
        <w:t xml:space="preserve">— models the Reformed understanding of the minister as a covenant servant bound to the people not by their worthiness but by the calling of God; ministry is not a contract dissolved by the congregation’s failure but a covenant obligation sustained by the LORD’s ongoing purposes.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response to your worst covenant failures is not to dissolve His commitment to you but to summon you back — with full seriousness about the sin and full assurance of His name at stake in your redemption. Stop treating your substitutes as if they can do what only He can do. Hear Samuel’s word as your own:</w:t>
      </w:r>
      <w:r>
        <w:t xml:space="preserve"> </w:t>
      </w:r>
      <w:r>
        <w:t xml:space="preserve">“Do not be afraid — but serve the LORD with all your heart.”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Samuel as the hero rather than the text’s theological center.</w:t>
      </w:r>
      <w:r>
        <w:t xml:space="preserve"> </w:t>
      </w:r>
      <w:r>
        <w:t xml:space="preserve">Samuel’s integrity in verses 1–5 is a vivid detail, and it is easy for the sermon to become a character study on Samuel’s faithfulness rather than a covenant address about the LORD’s faithfulness. Samuel’s vindication is a rhetorical and juridical setup, not the point. The sermon that ends with</w:t>
      </w:r>
      <w:r>
        <w:t xml:space="preserve"> </w:t>
      </w:r>
      <w:r>
        <w:t xml:space="preserve">“be like Samuel — maintain your integrity and keep praying for people who have hurt you”</w:t>
      </w:r>
      <w:r>
        <w:t xml:space="preserve"> </w:t>
      </w:r>
      <w:r>
        <w:t xml:space="preserve">has generated the application from Samuel’s example rather than from the Primary Claim. Clowney’s anti-moralism principle applies directly here.</w:t>
      </w:r>
    </w:p>
    <w:p>
      <w:pPr>
        <w:numPr>
          <w:ilvl w:val="0"/>
          <w:numId w:val="1002"/>
        </w:numPr>
      </w:pPr>
      <w:r>
        <w:rPr>
          <w:b/>
          <w:bCs/>
        </w:rPr>
        <w:t xml:space="preserve">Softening verse 22 into mere possibility.</w:t>
      </w:r>
      <w:r>
        <w:t xml:space="preserve"> </w:t>
      </w:r>
      <w:r>
        <w:t xml:space="preserve">“The LORD will not abandon His people for His great name’s sake”</w:t>
      </w:r>
      <w:r>
        <w:t xml:space="preserve"> </w:t>
      </w:r>
      <w:r>
        <w:t xml:space="preserve">is one of the clearest statements of unconditional covenant commitment in the entire Former Prophets. A preacher anxious to maintain the passage’s genuine warnings may be tempted to bracket or qualify this verse —</w:t>
      </w:r>
      <w:r>
        <w:t xml:space="preserve"> </w:t>
      </w:r>
      <w:r>
        <w:t xml:space="preserve">“well, this was specifically for Israel in the covenant era.”</w:t>
      </w:r>
      <w:r>
        <w:t xml:space="preserve"> </w:t>
      </w:r>
      <w:r>
        <w:t xml:space="preserve">The canonical resonance with Romans 11:29 and Romans 8:38–39 forbids this move. Verse 22 must land with full force.</w:t>
      </w:r>
    </w:p>
    <w:p>
      <w:pPr>
        <w:numPr>
          <w:ilvl w:val="0"/>
          <w:numId w:val="1002"/>
        </w:numPr>
      </w:pPr>
      <w:r>
        <w:rPr>
          <w:b/>
          <w:bCs/>
        </w:rPr>
        <w:t xml:space="preserve">Treating the request for a king as the irreversible sin that doomed Israel.</w:t>
      </w:r>
      <w:r>
        <w:t xml:space="preserve"> </w:t>
      </w:r>
      <w:r>
        <w:t xml:space="preserve">Some preaching on this passage communicates, functionally, that the monarchic period was a tragic mistake from which Israel never recovered. The text does not support this reading. Samuel does not revoke the kingship; he places it under covenant. The history that follows is not the outworking of an inevitable doom but the ongoing outworking of covenant faithfulness and unfaithfulness under a structure the LORD himself anticipated and regulated (Deuteronomy 17). The monarchy will eventually produce the Davidic covenant and the Messianic hope — the sin of chapter 12 does not foreclose this.</w:t>
      </w:r>
    </w:p>
    <w:p>
      <w:pPr>
        <w:numPr>
          <w:ilvl w:val="0"/>
          <w:numId w:val="1002"/>
        </w:numPr>
      </w:pPr>
      <w:r>
        <w:rPr>
          <w:b/>
          <w:bCs/>
        </w:rPr>
        <w:t xml:space="preserve">Using the conditional warnings (vv. 14–15) to undermine assurance.</w:t>
      </w:r>
      <w:r>
        <w:t xml:space="preserve"> </w:t>
      </w:r>
      <w:r>
        <w:t xml:space="preserve">The warnings are real and must be preached. But a sermon that leads listeners to wonder whether they have forfeited God’s favor by their failures has bypassed verse 22 and replaced the chapter’s intent with a different one. The conditions in this passage are motivational and disciplinary, not salvific ultimatums. The preacher must hold both poles or the passage’s own double movement is lost.</w:t>
      </w:r>
    </w:p>
    <w:p>
      <w:pPr>
        <w:numPr>
          <w:ilvl w:val="0"/>
          <w:numId w:val="1002"/>
        </w:numPr>
      </w:pPr>
      <w:r>
        <w:rPr>
          <w:b/>
          <w:bCs/>
        </w:rPr>
        <w:t xml:space="preserve">Domesticating</w:t>
      </w:r>
      <w:r>
        <w:rPr>
          <w:b/>
          <w:bCs/>
        </w:rPr>
        <w:t xml:space="preserve"> </w:t>
      </w:r>
      <w:r>
        <w:rPr>
          <w:b/>
          <w:bCs/>
        </w:rPr>
        <w:t xml:space="preserve">“serve the LORD with all your heart”</w:t>
      </w:r>
      <w:r>
        <w:rPr>
          <w:b/>
          <w:bCs/>
        </w:rPr>
        <w:t xml:space="preserve"> </w:t>
      </w:r>
      <w:r>
        <w:rPr>
          <w:b/>
          <w:bCs/>
        </w:rPr>
        <w:t xml:space="preserve">into behavioral checklists.</w:t>
      </w:r>
      <w:r>
        <w:t xml:space="preserve"> </w:t>
      </w:r>
      <w:r>
        <w:t xml:space="preserve">Samuel’s final exhortation is holistic and affectional — heart-level covenant loyalty expressed in a pattern of life. The temptation is to translate it into specific behavioral metrics (</w:t>
      </w:r>
      <w:r>
        <w:t xml:space="preserve">“attend church, read your Bible, give”</w:t>
      </w:r>
      <w:r>
        <w:t xml:space="preserve">) that technically satisfy the surface command while completely missing its orientation. Keller’s idol-diagnosis lens is useful here: the question is not</w:t>
      </w:r>
      <w:r>
        <w:t xml:space="preserve"> </w:t>
      </w:r>
      <w:r>
        <w:t xml:space="preserve">“are you performing the right religious behaviors?”</w:t>
      </w:r>
      <w:r>
        <w:t xml:space="preserve"> </w:t>
      </w:r>
      <w:r>
        <w:t xml:space="preserve">but</w:t>
      </w:r>
      <w:r>
        <w:t xml:space="preserve"> </w:t>
      </w:r>
      <w:r>
        <w:t xml:space="preserve">“has the LORD displaced the functional kings that prompted the request in the first place?”</w:t>
      </w:r>
    </w:p>
    <w:p>
      <w:pPr>
        <w:numPr>
          <w:ilvl w:val="0"/>
          <w:numId w:val="1002"/>
        </w:numPr>
      </w:pPr>
      <w:r>
        <w:rPr>
          <w:b/>
          <w:bCs/>
        </w:rPr>
        <w:t xml:space="preserve">Skipping the covenant sign (vv. 16–19) as cultural background rather than preaching it.</w:t>
      </w:r>
      <w:r>
        <w:t xml:space="preserve"> </w:t>
      </w:r>
      <w:r>
        <w:t xml:space="preserve">The thunder and rain in wheat harvest is not a curiosity to be explained and moved past — it is a carefully constructed theological moment. The LORD is demonstrating His control over the creation order to a people who have been tempted to trust in human power structures. The sign functions as embodied covenant speech: I am the one who rules the seasons; your king cannot do this. Preachers who explain the meteorological significance and move on without letting the sign preach will have missed the affectional power the passage itself relies on to produce the fear of verse 18.</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2026-07-14T21:02:36Z</dcterms:created>
  <dcterms:modified xsi:type="dcterms:W3CDTF">2026-07-14T21:02:36Z</dcterms:modified>
</cp:coreProperties>
</file>

<file path=docProps/custom.xml><?xml version="1.0" encoding="utf-8"?>
<Properties xmlns="http://schemas.openxmlformats.org/officeDocument/2006/custom-properties" xmlns:vt="http://schemas.openxmlformats.org/officeDocument/2006/docPropsVTypes"/>
</file>